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FA21EE" w14:textId="77777777" w:rsidR="00D46DDF" w:rsidRDefault="00D46DDF" w:rsidP="00D46DDF"/>
    <w:p w14:paraId="4393807A" w14:textId="1642F3B1" w:rsidR="006E62E0" w:rsidRDefault="006E62E0" w:rsidP="00D46DDF"/>
    <w:p w14:paraId="379023AF" w14:textId="41C4D301" w:rsidR="006E62E0" w:rsidRDefault="006E62E0" w:rsidP="006E62E0">
      <w:pPr>
        <w:spacing w:after="160" w:line="259" w:lineRule="auto"/>
        <w:rPr>
          <w:rFonts w:ascii="Calibri" w:eastAsia="Calibri" w:hAnsi="Calibri"/>
          <w:kern w:val="2"/>
          <w:sz w:val="22"/>
          <w:szCs w:val="22"/>
          <w14:ligatures w14:val="standardContextual"/>
        </w:rPr>
      </w:pPr>
      <w:r>
        <w:rPr>
          <w:rFonts w:ascii="Calibri" w:eastAsia="Calibri" w:hAnsi="Calibri"/>
          <w:kern w:val="2"/>
          <w:sz w:val="22"/>
          <w:szCs w:val="22"/>
          <w14:ligatures w14:val="standardContextual"/>
        </w:rPr>
        <w:t xml:space="preserve">February </w:t>
      </w:r>
      <w:r w:rsidR="0082529E">
        <w:rPr>
          <w:rFonts w:ascii="Calibri" w:eastAsia="Calibri" w:hAnsi="Calibri"/>
          <w:kern w:val="2"/>
          <w:sz w:val="22"/>
          <w:szCs w:val="22"/>
          <w14:ligatures w14:val="standardContextual"/>
        </w:rPr>
        <w:t>5</w:t>
      </w:r>
      <w:r>
        <w:rPr>
          <w:rFonts w:ascii="Calibri" w:eastAsia="Calibri" w:hAnsi="Calibri"/>
          <w:kern w:val="2"/>
          <w:sz w:val="22"/>
          <w:szCs w:val="22"/>
          <w14:ligatures w14:val="standardContextual"/>
        </w:rPr>
        <w:t>, 2024</w:t>
      </w:r>
    </w:p>
    <w:p w14:paraId="6912116C" w14:textId="437D436A" w:rsidR="006E62E0" w:rsidRPr="006E62E0" w:rsidRDefault="006E62E0" w:rsidP="006E62E0">
      <w:pPr>
        <w:spacing w:after="160" w:line="259" w:lineRule="auto"/>
        <w:rPr>
          <w:rFonts w:ascii="Calibri" w:eastAsia="Calibri" w:hAnsi="Calibri"/>
          <w:kern w:val="2"/>
          <w:sz w:val="22"/>
          <w:szCs w:val="22"/>
          <w14:ligatures w14:val="standardContextual"/>
        </w:rPr>
      </w:pPr>
      <w:r w:rsidRPr="006E62E0">
        <w:rPr>
          <w:rFonts w:ascii="Calibri" w:eastAsia="Calibri" w:hAnsi="Calibri"/>
          <w:kern w:val="2"/>
          <w:sz w:val="22"/>
          <w:szCs w:val="22"/>
          <w14:ligatures w14:val="standardContextual"/>
        </w:rPr>
        <w:t>Last week the DSHS Department of Rates released cost report settlements for 2022 and a “Wage Equity Review Settlement for 2022 Cost Report.”  These reports should be reviewed in tandem.</w:t>
      </w:r>
    </w:p>
    <w:p w14:paraId="75334428" w14:textId="6D5937BB" w:rsidR="006E62E0" w:rsidRPr="006E62E0" w:rsidRDefault="006E62E0" w:rsidP="006E62E0">
      <w:pPr>
        <w:spacing w:after="160" w:line="259" w:lineRule="auto"/>
        <w:rPr>
          <w:rFonts w:ascii="Calibri" w:eastAsia="Calibri" w:hAnsi="Calibri"/>
          <w:kern w:val="2"/>
          <w:sz w:val="22"/>
          <w:szCs w:val="22"/>
          <w14:ligatures w14:val="standardContextual"/>
        </w:rPr>
      </w:pPr>
      <w:r w:rsidRPr="006E62E0">
        <w:rPr>
          <w:rFonts w:ascii="Calibri" w:eastAsia="Calibri" w:hAnsi="Calibri"/>
          <w:kern w:val="2"/>
          <w:sz w:val="22"/>
          <w:szCs w:val="22"/>
          <w14:ligatures w14:val="standardContextual"/>
        </w:rPr>
        <w:t>As you recall, the 2022 legislature passed ESSB 5693 [Sec 204]</w:t>
      </w:r>
      <w:r>
        <w:rPr>
          <w:rFonts w:ascii="Calibri" w:eastAsia="Calibri" w:hAnsi="Calibri"/>
          <w:kern w:val="2"/>
          <w:sz w:val="22"/>
          <w:szCs w:val="22"/>
          <w14:ligatures w14:val="standardContextual"/>
        </w:rPr>
        <w:t>,</w:t>
      </w:r>
      <w:r w:rsidRPr="006E62E0">
        <w:rPr>
          <w:rFonts w:ascii="Calibri" w:eastAsia="Calibri" w:hAnsi="Calibri"/>
          <w:kern w:val="2"/>
          <w:sz w:val="22"/>
          <w:szCs w:val="22"/>
          <w14:ligatures w14:val="standardContextual"/>
        </w:rPr>
        <w:t xml:space="preserve"> funding roughly 48 million to nursing home Providers to spen</w:t>
      </w:r>
      <w:r>
        <w:rPr>
          <w:rFonts w:ascii="Calibri" w:eastAsia="Calibri" w:hAnsi="Calibri"/>
          <w:kern w:val="2"/>
          <w:sz w:val="22"/>
          <w:szCs w:val="22"/>
          <w14:ligatures w14:val="standardContextual"/>
        </w:rPr>
        <w:t>d</w:t>
      </w:r>
      <w:r w:rsidRPr="006E62E0">
        <w:rPr>
          <w:rFonts w:ascii="Calibri" w:eastAsia="Calibri" w:hAnsi="Calibri"/>
          <w:kern w:val="2"/>
          <w:sz w:val="22"/>
          <w:szCs w:val="22"/>
          <w14:ligatures w14:val="standardContextual"/>
        </w:rPr>
        <w:t xml:space="preserve"> increasing the wage of low wage workers.  Providers could increase wages for low wage workers by up to $4 / hour over the December 2021 average wage.  The measurement period was July 1, 2022, through June 30, 2023.  Reports were due to DSHS by August 31, 2023.   The original Proviso is attached. </w:t>
      </w:r>
    </w:p>
    <w:p w14:paraId="4ACAB043" w14:textId="5FE9FF2D" w:rsidR="006E62E0" w:rsidRPr="006E62E0" w:rsidRDefault="006E62E0" w:rsidP="006E62E0">
      <w:pPr>
        <w:spacing w:after="160" w:line="259" w:lineRule="auto"/>
        <w:rPr>
          <w:rFonts w:ascii="Calibri" w:eastAsia="Calibri" w:hAnsi="Calibri"/>
          <w:kern w:val="2"/>
          <w:sz w:val="22"/>
          <w:szCs w:val="22"/>
          <w14:ligatures w14:val="standardContextual"/>
        </w:rPr>
      </w:pPr>
      <w:r w:rsidRPr="006E62E0">
        <w:rPr>
          <w:rFonts w:ascii="Calibri" w:eastAsia="Calibri" w:hAnsi="Calibri"/>
          <w:kern w:val="2"/>
          <w:sz w:val="22"/>
          <w:szCs w:val="22"/>
          <w14:ligatures w14:val="standardContextual"/>
        </w:rPr>
        <w:t>Each provider should have received a settlement worksheet indicating what the Department’s calculation</w:t>
      </w:r>
      <w:r>
        <w:rPr>
          <w:rFonts w:ascii="Calibri" w:eastAsia="Calibri" w:hAnsi="Calibri"/>
          <w:kern w:val="2"/>
          <w:sz w:val="22"/>
          <w:szCs w:val="22"/>
          <w14:ligatures w14:val="standardContextual"/>
        </w:rPr>
        <w:t xml:space="preserve"> was</w:t>
      </w:r>
      <w:r w:rsidRPr="006E62E0">
        <w:rPr>
          <w:rFonts w:ascii="Calibri" w:eastAsia="Calibri" w:hAnsi="Calibri"/>
          <w:kern w:val="2"/>
          <w:sz w:val="22"/>
          <w:szCs w:val="22"/>
          <w14:ligatures w14:val="standardContextual"/>
        </w:rPr>
        <w:t xml:space="preserve"> and whether the Provider owes money back.  The Department did not issue “adjustments” to the original schedule and therefore the Provider should review the Department’s worksheet against what was submitted </w:t>
      </w:r>
      <w:proofErr w:type="gramStart"/>
      <w:r w:rsidRPr="006E62E0">
        <w:rPr>
          <w:rFonts w:ascii="Calibri" w:eastAsia="Calibri" w:hAnsi="Calibri"/>
          <w:kern w:val="2"/>
          <w:sz w:val="22"/>
          <w:szCs w:val="22"/>
          <w14:ligatures w14:val="standardContextual"/>
        </w:rPr>
        <w:t>in an effort to</w:t>
      </w:r>
      <w:proofErr w:type="gramEnd"/>
      <w:r w:rsidRPr="006E62E0">
        <w:rPr>
          <w:rFonts w:ascii="Calibri" w:eastAsia="Calibri" w:hAnsi="Calibri"/>
          <w:kern w:val="2"/>
          <w:sz w:val="22"/>
          <w:szCs w:val="22"/>
          <w14:ligatures w14:val="standardContextual"/>
        </w:rPr>
        <w:t xml:space="preserve"> determine what, if anything, changed.</w:t>
      </w:r>
    </w:p>
    <w:p w14:paraId="5CD8CC63" w14:textId="43349692" w:rsidR="006E62E0" w:rsidRPr="006E62E0" w:rsidRDefault="006E62E0" w:rsidP="006E62E0">
      <w:pPr>
        <w:spacing w:after="160" w:line="259" w:lineRule="auto"/>
        <w:rPr>
          <w:rFonts w:ascii="Calibri" w:eastAsia="Calibri" w:hAnsi="Calibri"/>
          <w:kern w:val="2"/>
          <w:sz w:val="22"/>
          <w:szCs w:val="22"/>
          <w14:ligatures w14:val="standardContextual"/>
        </w:rPr>
      </w:pPr>
      <w:r w:rsidRPr="006E62E0">
        <w:rPr>
          <w:rFonts w:ascii="Calibri" w:eastAsia="Calibri" w:hAnsi="Calibri"/>
          <w:kern w:val="2"/>
          <w:sz w:val="22"/>
          <w:szCs w:val="22"/>
          <w14:ligatures w14:val="standardContextual"/>
        </w:rPr>
        <w:t>Important to this process is that if the provider did not spend the low wage equity funds as directed</w:t>
      </w:r>
      <w:r>
        <w:rPr>
          <w:rFonts w:ascii="Calibri" w:eastAsia="Calibri" w:hAnsi="Calibri"/>
          <w:kern w:val="2"/>
          <w:sz w:val="22"/>
          <w:szCs w:val="22"/>
          <w14:ligatures w14:val="standardContextual"/>
        </w:rPr>
        <w:t>,</w:t>
      </w:r>
      <w:r w:rsidRPr="006E62E0">
        <w:rPr>
          <w:rFonts w:ascii="Calibri" w:eastAsia="Calibri" w:hAnsi="Calibri"/>
          <w:kern w:val="2"/>
          <w:sz w:val="22"/>
          <w:szCs w:val="22"/>
          <w14:ligatures w14:val="standardContextual"/>
        </w:rPr>
        <w:t xml:space="preserve"> it owes money back.  The worksheet settles Direct Care separately from Indirect care.  Further, if the provider owes money on the WERF worksheet in Direct Care AND has a payback on the 2022 Medicaid cost report, the Department should offset the Direct Care Payback against the amount owed for Low Wage Equity Funding</w:t>
      </w:r>
    </w:p>
    <w:p w14:paraId="0425C7D6" w14:textId="77777777" w:rsidR="006E62E0" w:rsidRPr="006E62E0" w:rsidRDefault="006E62E0" w:rsidP="006E62E0">
      <w:pPr>
        <w:spacing w:after="160" w:line="259" w:lineRule="auto"/>
        <w:rPr>
          <w:rFonts w:ascii="Calibri" w:eastAsia="Calibri" w:hAnsi="Calibri"/>
          <w:kern w:val="2"/>
          <w:sz w:val="22"/>
          <w:szCs w:val="22"/>
          <w14:ligatures w14:val="standardContextual"/>
        </w:rPr>
      </w:pPr>
      <w:r w:rsidRPr="006E62E0">
        <w:rPr>
          <w:rFonts w:ascii="Calibri" w:eastAsia="Calibri" w:hAnsi="Calibri"/>
          <w:kern w:val="2"/>
          <w:sz w:val="22"/>
          <w:szCs w:val="22"/>
          <w14:ligatures w14:val="standardContextual"/>
        </w:rPr>
        <w:t xml:space="preserve">Critically, the Provider </w:t>
      </w:r>
      <w:proofErr w:type="gramStart"/>
      <w:r w:rsidRPr="006E62E0">
        <w:rPr>
          <w:rFonts w:ascii="Calibri" w:eastAsia="Calibri" w:hAnsi="Calibri"/>
          <w:kern w:val="2"/>
          <w:sz w:val="22"/>
          <w:szCs w:val="22"/>
          <w14:ligatures w14:val="standardContextual"/>
        </w:rPr>
        <w:t>has the opportunity to</w:t>
      </w:r>
      <w:proofErr w:type="gramEnd"/>
      <w:r w:rsidRPr="006E62E0">
        <w:rPr>
          <w:rFonts w:ascii="Calibri" w:eastAsia="Calibri" w:hAnsi="Calibri"/>
          <w:kern w:val="2"/>
          <w:sz w:val="22"/>
          <w:szCs w:val="22"/>
          <w14:ligatures w14:val="standardContextual"/>
        </w:rPr>
        <w:t xml:space="preserve"> appeal both the Final Settlement of the 2022 cost and the Wage Equity Fund calculation.  The Settlement letter outlining the WERF settlement for 2022 contains language as follows:</w:t>
      </w:r>
    </w:p>
    <w:p w14:paraId="3870165D" w14:textId="77777777" w:rsidR="006E62E0" w:rsidRPr="006E62E0" w:rsidRDefault="006E62E0" w:rsidP="006E62E0">
      <w:pPr>
        <w:autoSpaceDE w:val="0"/>
        <w:autoSpaceDN w:val="0"/>
        <w:adjustRightInd w:val="0"/>
        <w:ind w:left="720"/>
        <w:rPr>
          <w:rFonts w:ascii="Calibri" w:eastAsia="Calibri" w:hAnsi="Calibri"/>
          <w:b/>
          <w:bCs/>
          <w:i/>
          <w:iCs/>
          <w:kern w:val="2"/>
          <w:sz w:val="22"/>
          <w:szCs w:val="22"/>
          <w14:ligatures w14:val="standardContextual"/>
        </w:rPr>
      </w:pPr>
      <w:r w:rsidRPr="006E62E0">
        <w:rPr>
          <w:rFonts w:ascii="CIDFont+F5" w:eastAsia="Calibri" w:hAnsi="CIDFont+F5" w:cs="CIDFont+F5"/>
          <w:i/>
          <w:iCs/>
          <w:sz w:val="24"/>
          <w:szCs w:val="24"/>
          <w14:ligatures w14:val="standardContextual"/>
        </w:rPr>
        <w:t xml:space="preserve">Under WACs 388-96-218 (2) (b), 388-96-901, and 388-96-904, if you wish to contest your Wage Equity Settlement, you must request an administrative review conference in writing within twenty-eight (28) days of your receipt of the Wage Equity Settlement. Please send your request to the Office of Rates Management, Post Office Box 45600, Olympia, Washington, 98504-5600.  </w:t>
      </w:r>
      <w:r w:rsidRPr="006E62E0">
        <w:rPr>
          <w:rFonts w:ascii="CIDFont+F5" w:eastAsia="Calibri" w:hAnsi="CIDFont+F5" w:cs="CIDFont+F5"/>
          <w:b/>
          <w:bCs/>
          <w:i/>
          <w:iCs/>
          <w:sz w:val="24"/>
          <w:szCs w:val="24"/>
          <w14:ligatures w14:val="standardContextual"/>
        </w:rPr>
        <w:t>Any administrative review of a Wage Equity Settlement shall be limited to the application of settlement principles and rules and shall not examine or re-examine other issues.</w:t>
      </w:r>
    </w:p>
    <w:p w14:paraId="3F16BB69" w14:textId="77777777" w:rsidR="006E62E0" w:rsidRPr="006E62E0" w:rsidRDefault="006E62E0" w:rsidP="006E62E0">
      <w:pPr>
        <w:spacing w:after="160" w:line="259" w:lineRule="auto"/>
        <w:rPr>
          <w:rFonts w:ascii="Calibri" w:eastAsia="Calibri" w:hAnsi="Calibri"/>
          <w:kern w:val="2"/>
          <w:sz w:val="22"/>
          <w:szCs w:val="22"/>
          <w14:ligatures w14:val="standardContextual"/>
        </w:rPr>
      </w:pPr>
    </w:p>
    <w:p w14:paraId="66208BE0" w14:textId="36DF9BE4" w:rsidR="006E62E0" w:rsidRPr="006E62E0" w:rsidRDefault="0082529E" w:rsidP="006E62E0">
      <w:pPr>
        <w:spacing w:after="160" w:line="259" w:lineRule="auto"/>
        <w:rPr>
          <w:rFonts w:ascii="Calibri" w:eastAsia="Calibri" w:hAnsi="Calibri"/>
          <w:kern w:val="2"/>
          <w:sz w:val="22"/>
          <w:szCs w:val="22"/>
          <w14:ligatures w14:val="standardContextual"/>
        </w:rPr>
      </w:pPr>
      <w:r>
        <w:rPr>
          <w:rFonts w:ascii="Calibri" w:eastAsia="Calibri" w:hAnsi="Calibri"/>
          <w:kern w:val="2"/>
          <w:sz w:val="22"/>
          <w:szCs w:val="22"/>
          <w14:ligatures w14:val="standardContextual"/>
        </w:rPr>
        <w:t xml:space="preserve">A </w:t>
      </w:r>
      <w:r w:rsidR="006E62E0" w:rsidRPr="006E62E0">
        <w:rPr>
          <w:rFonts w:ascii="Calibri" w:eastAsia="Calibri" w:hAnsi="Calibri"/>
          <w:kern w:val="2"/>
          <w:sz w:val="22"/>
          <w:szCs w:val="22"/>
          <w14:ligatures w14:val="standardContextual"/>
        </w:rPr>
        <w:t>Provider has the legal right to appeal not only issues of settlement but also any other use related to the worksheet.  We confirmed with the Department that to file an appeal the Provider should upload the appeal to the MFT site and email rates at NFRates@dshs.wa.gov to let them know to go download the information.</w:t>
      </w:r>
    </w:p>
    <w:p w14:paraId="09A2FD53" w14:textId="77777777" w:rsidR="006E62E0" w:rsidRPr="006E62E0" w:rsidRDefault="006E62E0" w:rsidP="006E62E0">
      <w:pPr>
        <w:spacing w:after="160" w:line="259" w:lineRule="auto"/>
        <w:rPr>
          <w:rFonts w:ascii="Calibri" w:eastAsia="Calibri" w:hAnsi="Calibri"/>
          <w:kern w:val="2"/>
          <w:sz w:val="22"/>
          <w:szCs w:val="22"/>
          <w14:ligatures w14:val="standardContextual"/>
        </w:rPr>
      </w:pPr>
      <w:r w:rsidRPr="006E62E0">
        <w:rPr>
          <w:rFonts w:ascii="Calibri" w:eastAsia="Calibri" w:hAnsi="Calibri"/>
          <w:kern w:val="2"/>
          <w:sz w:val="22"/>
          <w:szCs w:val="22"/>
          <w14:ligatures w14:val="standardContextual"/>
        </w:rPr>
        <w:t xml:space="preserve">In reviewing your </w:t>
      </w:r>
      <w:proofErr w:type="gramStart"/>
      <w:r w:rsidRPr="006E62E0">
        <w:rPr>
          <w:rFonts w:ascii="Calibri" w:eastAsia="Calibri" w:hAnsi="Calibri"/>
          <w:kern w:val="2"/>
          <w:sz w:val="22"/>
          <w:szCs w:val="22"/>
          <w14:ligatures w14:val="standardContextual"/>
        </w:rPr>
        <w:t>calculations;</w:t>
      </w:r>
      <w:proofErr w:type="gramEnd"/>
      <w:r w:rsidRPr="006E62E0">
        <w:rPr>
          <w:rFonts w:ascii="Calibri" w:eastAsia="Calibri" w:hAnsi="Calibri"/>
          <w:kern w:val="2"/>
          <w:sz w:val="22"/>
          <w:szCs w:val="22"/>
          <w14:ligatures w14:val="standardContextual"/>
        </w:rPr>
        <w:t xml:space="preserve"> here are some items to consider:</w:t>
      </w:r>
    </w:p>
    <w:p w14:paraId="4CDD10AC" w14:textId="77777777" w:rsidR="006E62E0" w:rsidRPr="006E62E0" w:rsidRDefault="006E62E0" w:rsidP="006E62E0">
      <w:pPr>
        <w:numPr>
          <w:ilvl w:val="0"/>
          <w:numId w:val="9"/>
        </w:numPr>
        <w:spacing w:after="160" w:line="259" w:lineRule="auto"/>
        <w:contextualSpacing/>
        <w:rPr>
          <w:rFonts w:ascii="Calibri" w:eastAsia="Calibri" w:hAnsi="Calibri"/>
          <w:kern w:val="2"/>
          <w:sz w:val="22"/>
          <w:szCs w:val="22"/>
          <w14:ligatures w14:val="standardContextual"/>
        </w:rPr>
      </w:pPr>
      <w:r w:rsidRPr="006E62E0">
        <w:rPr>
          <w:rFonts w:ascii="Calibri" w:eastAsia="Calibri" w:hAnsi="Calibri"/>
          <w:kern w:val="2"/>
          <w:sz w:val="22"/>
          <w:szCs w:val="22"/>
          <w14:ligatures w14:val="standardContextual"/>
        </w:rPr>
        <w:t>Review the average starting wage for December 2021.  How was it derived?  In cases where there is a new position, make sure you agree with and understand how that comparison wage was derived.</w:t>
      </w:r>
    </w:p>
    <w:p w14:paraId="57D5872D" w14:textId="77777777" w:rsidR="006E62E0" w:rsidRPr="006E62E0" w:rsidRDefault="006E62E0" w:rsidP="006E62E0">
      <w:pPr>
        <w:spacing w:after="160" w:line="259" w:lineRule="auto"/>
        <w:ind w:left="720"/>
        <w:contextualSpacing/>
        <w:rPr>
          <w:rFonts w:ascii="Calibri" w:eastAsia="Calibri" w:hAnsi="Calibri"/>
          <w:kern w:val="2"/>
          <w:sz w:val="22"/>
          <w:szCs w:val="22"/>
          <w14:ligatures w14:val="standardContextual"/>
        </w:rPr>
      </w:pPr>
    </w:p>
    <w:p w14:paraId="35AFAA61" w14:textId="77777777" w:rsidR="006E62E0" w:rsidRPr="006E62E0" w:rsidRDefault="006E62E0" w:rsidP="006E62E0">
      <w:pPr>
        <w:numPr>
          <w:ilvl w:val="0"/>
          <w:numId w:val="9"/>
        </w:numPr>
        <w:spacing w:after="160" w:line="259" w:lineRule="auto"/>
        <w:contextualSpacing/>
        <w:rPr>
          <w:rFonts w:ascii="Calibri" w:eastAsia="Calibri" w:hAnsi="Calibri"/>
          <w:kern w:val="2"/>
          <w:sz w:val="22"/>
          <w:szCs w:val="22"/>
          <w14:ligatures w14:val="standardContextual"/>
        </w:rPr>
      </w:pPr>
      <w:r w:rsidRPr="006E62E0">
        <w:rPr>
          <w:rFonts w:ascii="Calibri" w:eastAsia="Calibri" w:hAnsi="Calibri"/>
          <w:kern w:val="2"/>
          <w:sz w:val="22"/>
          <w:szCs w:val="22"/>
          <w14:ligatures w14:val="standardContextual"/>
        </w:rPr>
        <w:t>Review the average wage for the measurement period [7/1/22 – 6/30/23].  How was it derived?  Make sure you agree with and understand how that comparison wage was derived.</w:t>
      </w:r>
    </w:p>
    <w:p w14:paraId="2F282DB2" w14:textId="77777777" w:rsidR="006E62E0" w:rsidRPr="006E62E0" w:rsidRDefault="006E62E0" w:rsidP="006E62E0">
      <w:pPr>
        <w:spacing w:after="160" w:line="259" w:lineRule="auto"/>
        <w:ind w:left="720"/>
        <w:contextualSpacing/>
        <w:rPr>
          <w:rFonts w:ascii="Calibri" w:eastAsia="Calibri" w:hAnsi="Calibri"/>
          <w:kern w:val="2"/>
          <w:sz w:val="22"/>
          <w:szCs w:val="22"/>
          <w14:ligatures w14:val="standardContextual"/>
        </w:rPr>
      </w:pPr>
    </w:p>
    <w:p w14:paraId="336DD311" w14:textId="77777777" w:rsidR="006E62E0" w:rsidRPr="006E62E0" w:rsidRDefault="006E62E0" w:rsidP="006E62E0">
      <w:pPr>
        <w:numPr>
          <w:ilvl w:val="0"/>
          <w:numId w:val="9"/>
        </w:numPr>
        <w:spacing w:after="160" w:line="259" w:lineRule="auto"/>
        <w:contextualSpacing/>
        <w:rPr>
          <w:rFonts w:ascii="Calibri" w:eastAsia="Calibri" w:hAnsi="Calibri"/>
          <w:kern w:val="2"/>
          <w:sz w:val="22"/>
          <w:szCs w:val="22"/>
          <w14:ligatures w14:val="standardContextual"/>
        </w:rPr>
      </w:pPr>
      <w:r w:rsidRPr="006E62E0">
        <w:rPr>
          <w:rFonts w:ascii="Calibri" w:eastAsia="Calibri" w:hAnsi="Calibri"/>
          <w:kern w:val="2"/>
          <w:sz w:val="22"/>
          <w:szCs w:val="22"/>
          <w14:ligatures w14:val="standardContextual"/>
        </w:rPr>
        <w:t>Review whether the correct hours are used.  Do you agree with the hours on the worksheet?</w:t>
      </w:r>
    </w:p>
    <w:p w14:paraId="1746FF02" w14:textId="77777777" w:rsidR="006E62E0" w:rsidRPr="006E62E0" w:rsidRDefault="006E62E0" w:rsidP="006E62E0">
      <w:pPr>
        <w:spacing w:after="160" w:line="259" w:lineRule="auto"/>
        <w:ind w:left="720"/>
        <w:contextualSpacing/>
        <w:rPr>
          <w:rFonts w:ascii="Calibri" w:eastAsia="Calibri" w:hAnsi="Calibri"/>
          <w:kern w:val="2"/>
          <w:sz w:val="22"/>
          <w:szCs w:val="22"/>
          <w14:ligatures w14:val="standardContextual"/>
        </w:rPr>
      </w:pPr>
    </w:p>
    <w:p w14:paraId="19B19C50" w14:textId="77777777" w:rsidR="006E62E0" w:rsidRPr="006E62E0" w:rsidRDefault="006E62E0" w:rsidP="006E62E0">
      <w:pPr>
        <w:numPr>
          <w:ilvl w:val="0"/>
          <w:numId w:val="9"/>
        </w:numPr>
        <w:spacing w:after="160" w:line="259" w:lineRule="auto"/>
        <w:contextualSpacing/>
        <w:rPr>
          <w:rFonts w:ascii="Calibri" w:eastAsia="Calibri" w:hAnsi="Calibri"/>
          <w:kern w:val="2"/>
          <w:sz w:val="22"/>
          <w:szCs w:val="22"/>
          <w14:ligatures w14:val="standardContextual"/>
        </w:rPr>
      </w:pPr>
      <w:r w:rsidRPr="006E62E0">
        <w:rPr>
          <w:rFonts w:ascii="Calibri" w:eastAsia="Calibri" w:hAnsi="Calibri"/>
          <w:kern w:val="2"/>
          <w:sz w:val="22"/>
          <w:szCs w:val="22"/>
          <w14:ligatures w14:val="standardContextual"/>
        </w:rPr>
        <w:t xml:space="preserve">Review whether the correct census was used.  Does it match what you submitted?  Does it match your MMIS Report?  </w:t>
      </w:r>
    </w:p>
    <w:p w14:paraId="4DC65F76" w14:textId="77777777" w:rsidR="006E62E0" w:rsidRPr="006E62E0" w:rsidRDefault="006E62E0" w:rsidP="006E62E0">
      <w:pPr>
        <w:spacing w:after="160" w:line="259" w:lineRule="auto"/>
        <w:ind w:left="720"/>
        <w:contextualSpacing/>
        <w:rPr>
          <w:rFonts w:ascii="Calibri" w:eastAsia="Calibri" w:hAnsi="Calibri"/>
          <w:kern w:val="2"/>
          <w:sz w:val="22"/>
          <w:szCs w:val="22"/>
          <w14:ligatures w14:val="standardContextual"/>
        </w:rPr>
      </w:pPr>
    </w:p>
    <w:p w14:paraId="4E4906C3" w14:textId="77777777" w:rsidR="006E62E0" w:rsidRPr="006E62E0" w:rsidRDefault="006E62E0" w:rsidP="006E62E0">
      <w:pPr>
        <w:numPr>
          <w:ilvl w:val="0"/>
          <w:numId w:val="9"/>
        </w:numPr>
        <w:spacing w:after="160" w:line="259" w:lineRule="auto"/>
        <w:contextualSpacing/>
        <w:rPr>
          <w:rFonts w:ascii="Calibri" w:eastAsia="Calibri" w:hAnsi="Calibri"/>
          <w:kern w:val="2"/>
          <w:sz w:val="22"/>
          <w:szCs w:val="22"/>
          <w14:ligatures w14:val="standardContextual"/>
        </w:rPr>
      </w:pPr>
      <w:r w:rsidRPr="006E62E0">
        <w:rPr>
          <w:rFonts w:ascii="Calibri" w:eastAsia="Calibri" w:hAnsi="Calibri"/>
          <w:kern w:val="2"/>
          <w:sz w:val="22"/>
          <w:szCs w:val="22"/>
          <w14:ligatures w14:val="standardContextual"/>
        </w:rPr>
        <w:t xml:space="preserve">Review whether all positions were included and whether they are correctly identified as either Direct or Indirect.  </w:t>
      </w:r>
    </w:p>
    <w:p w14:paraId="629538F6" w14:textId="77777777" w:rsidR="006E62E0" w:rsidRPr="006E62E0" w:rsidRDefault="006E62E0" w:rsidP="006E62E0">
      <w:pPr>
        <w:spacing w:after="160" w:line="259" w:lineRule="auto"/>
        <w:ind w:left="720"/>
        <w:contextualSpacing/>
        <w:rPr>
          <w:rFonts w:ascii="Calibri" w:eastAsia="Calibri" w:hAnsi="Calibri"/>
          <w:kern w:val="2"/>
          <w:sz w:val="22"/>
          <w:szCs w:val="22"/>
          <w14:ligatures w14:val="standardContextual"/>
        </w:rPr>
      </w:pPr>
    </w:p>
    <w:p w14:paraId="11B71235" w14:textId="77777777" w:rsidR="006E62E0" w:rsidRDefault="006E62E0" w:rsidP="006E62E0">
      <w:pPr>
        <w:numPr>
          <w:ilvl w:val="0"/>
          <w:numId w:val="9"/>
        </w:numPr>
        <w:spacing w:after="160" w:line="259" w:lineRule="auto"/>
        <w:contextualSpacing/>
        <w:rPr>
          <w:rFonts w:ascii="Calibri" w:eastAsia="Calibri" w:hAnsi="Calibri"/>
          <w:kern w:val="2"/>
          <w:sz w:val="22"/>
          <w:szCs w:val="22"/>
          <w14:ligatures w14:val="standardContextual"/>
        </w:rPr>
      </w:pPr>
      <w:r w:rsidRPr="006E62E0">
        <w:rPr>
          <w:rFonts w:ascii="Calibri" w:eastAsia="Calibri" w:hAnsi="Calibri"/>
          <w:kern w:val="2"/>
          <w:sz w:val="22"/>
          <w:szCs w:val="22"/>
          <w14:ligatures w14:val="standardContextual"/>
        </w:rPr>
        <w:t>Review the allocation of settlement between 2022 and 2023.  The Department seems to split the settlement in half and perhaps it would be more beneficial to allocate that settlement based on Medicaid days in each period.</w:t>
      </w:r>
    </w:p>
    <w:p w14:paraId="425EF28E" w14:textId="77777777" w:rsidR="006E62E0" w:rsidRDefault="006E62E0" w:rsidP="00606DA0">
      <w:pPr>
        <w:spacing w:after="160" w:line="259" w:lineRule="auto"/>
        <w:contextualSpacing/>
        <w:rPr>
          <w:rFonts w:ascii="Calibri" w:eastAsia="Calibri" w:hAnsi="Calibri"/>
          <w:kern w:val="2"/>
          <w:sz w:val="22"/>
          <w:szCs w:val="22"/>
          <w14:ligatures w14:val="standardContextual"/>
        </w:rPr>
      </w:pPr>
    </w:p>
    <w:p w14:paraId="2D104AF4" w14:textId="28E938A1" w:rsidR="008B0733" w:rsidRDefault="008B0733" w:rsidP="00606DA0">
      <w:pPr>
        <w:spacing w:after="160" w:line="259" w:lineRule="auto"/>
        <w:contextualSpacing/>
        <w:rPr>
          <w:rFonts w:ascii="Calibri" w:eastAsia="Calibri" w:hAnsi="Calibri"/>
          <w:kern w:val="2"/>
          <w:sz w:val="22"/>
          <w:szCs w:val="22"/>
          <w14:ligatures w14:val="standardContextual"/>
        </w:rPr>
      </w:pPr>
      <w:r>
        <w:rPr>
          <w:rFonts w:ascii="Calibri" w:eastAsia="Calibri" w:hAnsi="Calibri"/>
          <w:kern w:val="2"/>
          <w:sz w:val="22"/>
          <w:szCs w:val="22"/>
          <w14:ligatures w14:val="standardContextual"/>
        </w:rPr>
        <w:t xml:space="preserve">Finally, please note that in the case of a pay back in Direct Care, half of the amount </w:t>
      </w:r>
      <w:r w:rsidR="00C24041">
        <w:rPr>
          <w:rFonts w:ascii="Calibri" w:eastAsia="Calibri" w:hAnsi="Calibri"/>
          <w:kern w:val="2"/>
          <w:sz w:val="22"/>
          <w:szCs w:val="22"/>
          <w14:ligatures w14:val="standardContextual"/>
        </w:rPr>
        <w:t xml:space="preserve">owed </w:t>
      </w:r>
      <w:r>
        <w:rPr>
          <w:rFonts w:ascii="Calibri" w:eastAsia="Calibri" w:hAnsi="Calibri"/>
          <w:kern w:val="2"/>
          <w:sz w:val="22"/>
          <w:szCs w:val="22"/>
          <w14:ligatures w14:val="standardContextual"/>
        </w:rPr>
        <w:t>is reserved for the 2023 settlement and this may or may not be owed back at that time</w:t>
      </w:r>
      <w:r w:rsidR="00C24041">
        <w:rPr>
          <w:rFonts w:ascii="Calibri" w:eastAsia="Calibri" w:hAnsi="Calibri"/>
          <w:kern w:val="2"/>
          <w:sz w:val="22"/>
          <w:szCs w:val="22"/>
          <w14:ligatures w14:val="standardContextual"/>
        </w:rPr>
        <w:t xml:space="preserve"> depending direct care spending for that year.</w:t>
      </w:r>
    </w:p>
    <w:p w14:paraId="1EBAEEB8" w14:textId="77777777" w:rsidR="008B0733" w:rsidRPr="006E62E0" w:rsidRDefault="008B0733" w:rsidP="00606DA0">
      <w:pPr>
        <w:spacing w:after="160" w:line="259" w:lineRule="auto"/>
        <w:contextualSpacing/>
        <w:rPr>
          <w:rFonts w:ascii="Calibri" w:eastAsia="Calibri" w:hAnsi="Calibri"/>
          <w:kern w:val="2"/>
          <w:sz w:val="22"/>
          <w:szCs w:val="22"/>
          <w14:ligatures w14:val="standardContextual"/>
        </w:rPr>
      </w:pPr>
    </w:p>
    <w:p w14:paraId="374230C1" w14:textId="77777777" w:rsidR="006E62E0" w:rsidRPr="006E62E0" w:rsidRDefault="006E62E0" w:rsidP="006E62E0">
      <w:pPr>
        <w:spacing w:after="160" w:line="259" w:lineRule="auto"/>
        <w:rPr>
          <w:rFonts w:ascii="Calibri" w:eastAsia="Calibri" w:hAnsi="Calibri"/>
          <w:kern w:val="2"/>
          <w:sz w:val="22"/>
          <w:szCs w:val="22"/>
          <w14:ligatures w14:val="standardContextual"/>
        </w:rPr>
      </w:pPr>
      <w:r w:rsidRPr="006E62E0">
        <w:rPr>
          <w:rFonts w:ascii="Calibri" w:eastAsia="Calibri" w:hAnsi="Calibri"/>
          <w:kern w:val="2"/>
          <w:sz w:val="22"/>
          <w:szCs w:val="22"/>
          <w14:ligatures w14:val="standardContextual"/>
        </w:rPr>
        <w:t xml:space="preserve">The Provider should work with their cost report preparer in reviewing these settlements.  Should you have further questions, please contact Bill Ulrich by email at </w:t>
      </w:r>
      <w:hyperlink r:id="rId7" w:history="1">
        <w:r w:rsidRPr="006E62E0">
          <w:rPr>
            <w:rFonts w:ascii="Calibri" w:eastAsia="Calibri" w:hAnsi="Calibri"/>
            <w:color w:val="0563C1"/>
            <w:kern w:val="2"/>
            <w:sz w:val="22"/>
            <w:szCs w:val="22"/>
            <w:u w:val="single"/>
            <w14:ligatures w14:val="standardContextual"/>
          </w:rPr>
          <w:t>bill-ulrich@billing-services.com</w:t>
        </w:r>
      </w:hyperlink>
    </w:p>
    <w:p w14:paraId="01552A1E" w14:textId="77777777" w:rsidR="006E62E0" w:rsidRPr="006E62E0" w:rsidRDefault="006E62E0" w:rsidP="006E62E0">
      <w:pPr>
        <w:spacing w:after="160" w:line="259" w:lineRule="auto"/>
        <w:rPr>
          <w:rFonts w:ascii="Calibri" w:eastAsia="Calibri" w:hAnsi="Calibri"/>
          <w:kern w:val="2"/>
          <w:sz w:val="22"/>
          <w:szCs w:val="22"/>
          <w14:ligatures w14:val="standardContextual"/>
        </w:rPr>
      </w:pPr>
    </w:p>
    <w:p w14:paraId="3B3D77BF" w14:textId="77777777" w:rsidR="006E62E0" w:rsidRPr="006E62E0" w:rsidRDefault="006E62E0" w:rsidP="006E62E0">
      <w:pPr>
        <w:spacing w:after="160" w:line="259" w:lineRule="auto"/>
        <w:rPr>
          <w:rFonts w:ascii="Calibri" w:eastAsia="Calibri" w:hAnsi="Calibri"/>
          <w:kern w:val="2"/>
          <w:sz w:val="22"/>
          <w:szCs w:val="22"/>
          <w14:ligatures w14:val="standardContextual"/>
        </w:rPr>
      </w:pPr>
    </w:p>
    <w:p w14:paraId="4027B2BB" w14:textId="77777777" w:rsidR="006E62E0" w:rsidRPr="006E62E0" w:rsidRDefault="006E62E0" w:rsidP="006E62E0">
      <w:pPr>
        <w:spacing w:after="160" w:line="259" w:lineRule="auto"/>
        <w:rPr>
          <w:rFonts w:ascii="Calibri" w:eastAsia="Calibri" w:hAnsi="Calibri"/>
          <w:kern w:val="2"/>
          <w:sz w:val="22"/>
          <w:szCs w:val="22"/>
          <w14:ligatures w14:val="standardContextual"/>
        </w:rPr>
      </w:pPr>
    </w:p>
    <w:p w14:paraId="4E0074CB" w14:textId="77777777" w:rsidR="006E62E0" w:rsidRPr="006E62E0" w:rsidRDefault="006E62E0" w:rsidP="006E62E0">
      <w:pPr>
        <w:spacing w:after="160" w:line="259" w:lineRule="auto"/>
        <w:rPr>
          <w:rFonts w:ascii="Calibri" w:eastAsia="Calibri" w:hAnsi="Calibri"/>
          <w:kern w:val="2"/>
          <w:sz w:val="22"/>
          <w:szCs w:val="22"/>
          <w14:ligatures w14:val="standardContextual"/>
        </w:rPr>
      </w:pPr>
    </w:p>
    <w:p w14:paraId="028D66D1" w14:textId="77777777" w:rsidR="006E62E0" w:rsidRPr="006E62E0" w:rsidRDefault="006E62E0" w:rsidP="006E62E0">
      <w:pPr>
        <w:spacing w:after="160" w:line="259" w:lineRule="auto"/>
        <w:rPr>
          <w:rFonts w:ascii="Calibri" w:eastAsia="Calibri" w:hAnsi="Calibri"/>
          <w:kern w:val="2"/>
          <w:sz w:val="22"/>
          <w:szCs w:val="22"/>
          <w14:ligatures w14:val="standardContextual"/>
        </w:rPr>
      </w:pPr>
      <w:r w:rsidRPr="006E62E0">
        <w:rPr>
          <w:rFonts w:ascii="Calibri" w:eastAsia="Calibri" w:hAnsi="Calibri"/>
          <w:kern w:val="2"/>
          <w:sz w:val="22"/>
          <w:szCs w:val="22"/>
          <w14:ligatures w14:val="standardContextual"/>
        </w:rPr>
        <w:t xml:space="preserve">  </w:t>
      </w:r>
    </w:p>
    <w:p w14:paraId="372C7683" w14:textId="77777777" w:rsidR="00364366" w:rsidRDefault="00364366" w:rsidP="00364366">
      <w:pPr>
        <w:rPr>
          <w:rFonts w:ascii="Calibri" w:eastAsia="Calibri" w:hAnsi="Calibri"/>
          <w:sz w:val="22"/>
          <w:szCs w:val="22"/>
        </w:rPr>
      </w:pPr>
    </w:p>
    <w:sectPr w:rsidR="00364366" w:rsidSect="00826460">
      <w:headerReference w:type="default" r:id="rId8"/>
      <w:footerReference w:type="default" r:id="rId9"/>
      <w:pgSz w:w="12240" w:h="15840"/>
      <w:pgMar w:top="1440" w:right="1440" w:bottom="1440" w:left="1440" w:header="43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983E68" w14:textId="77777777" w:rsidR="00826460" w:rsidRDefault="00826460" w:rsidP="00EB602E">
      <w:r>
        <w:separator/>
      </w:r>
    </w:p>
  </w:endnote>
  <w:endnote w:type="continuationSeparator" w:id="0">
    <w:p w14:paraId="68D15FF7" w14:textId="77777777" w:rsidR="00826460" w:rsidRDefault="00826460" w:rsidP="00EB60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IDFont+F5">
    <w:altName w:val="Calibri"/>
    <w:panose1 w:val="00000000000000000000"/>
    <w:charset w:val="00"/>
    <w:family w:val="auto"/>
    <w:notTrueType/>
    <w:pitch w:val="default"/>
    <w:sig w:usb0="00000003" w:usb1="00000000" w:usb2="00000000" w:usb3="00000000" w:csb0="00000001" w:csb1="00000000"/>
  </w:font>
  <w:font w:name="Myriad Pro Light">
    <w:altName w:val="Corbel"/>
    <w:panose1 w:val="00000000000000000000"/>
    <w:charset w:val="00"/>
    <w:family w:val="swiss"/>
    <w:notTrueType/>
    <w:pitch w:val="variable"/>
    <w:sig w:usb0="20000287" w:usb1="00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B9A48" w14:textId="77777777" w:rsidR="00E3790B" w:rsidRDefault="00101DFF" w:rsidP="0044305E">
    <w:pPr>
      <w:pStyle w:val="Footer"/>
      <w:jc w:val="center"/>
      <w:rPr>
        <w:color w:val="2F5496" w:themeColor="accent5" w:themeShade="BF"/>
      </w:rPr>
    </w:pPr>
    <w:r w:rsidRPr="00101DFF">
      <w:rPr>
        <w:rFonts w:asciiTheme="minorHAnsi" w:hAnsiTheme="minorHAnsi" w:cstheme="minorHAnsi"/>
        <w:noProof/>
        <w:color w:val="4375BC"/>
      </w:rPr>
      <w:drawing>
        <wp:anchor distT="0" distB="0" distL="114300" distR="114300" simplePos="0" relativeHeight="251657215" behindDoc="1" locked="0" layoutInCell="1" allowOverlap="1" wp14:anchorId="42BBE675" wp14:editId="3D84F6CA">
          <wp:simplePos x="0" y="0"/>
          <wp:positionH relativeFrom="column">
            <wp:posOffset>5267960</wp:posOffset>
          </wp:positionH>
          <wp:positionV relativeFrom="page">
            <wp:posOffset>9064625</wp:posOffset>
          </wp:positionV>
          <wp:extent cx="1318260" cy="664210"/>
          <wp:effectExtent l="0" t="0" r="0" b="254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nfcb-CMYK-300.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18260" cy="664210"/>
                  </a:xfrm>
                  <a:prstGeom prst="rect">
                    <a:avLst/>
                  </a:prstGeom>
                </pic:spPr>
              </pic:pic>
            </a:graphicData>
          </a:graphic>
          <wp14:sizeRelH relativeFrom="margin">
            <wp14:pctWidth>0</wp14:pctWidth>
          </wp14:sizeRelH>
          <wp14:sizeRelV relativeFrom="margin">
            <wp14:pctHeight>0</wp14:pctHeight>
          </wp14:sizeRelV>
        </wp:anchor>
      </w:drawing>
    </w:r>
    <w:r w:rsidRPr="00E3790B">
      <w:rPr>
        <w:rFonts w:ascii="Myriad Pro Light" w:hAnsi="Myriad Pro Light"/>
        <w:noProof/>
        <w:color w:val="4375BC"/>
        <w:sz w:val="40"/>
        <w:szCs w:val="40"/>
      </w:rPr>
      <mc:AlternateContent>
        <mc:Choice Requires="wps">
          <w:drawing>
            <wp:anchor distT="0" distB="0" distL="114300" distR="114300" simplePos="0" relativeHeight="251661312" behindDoc="0" locked="0" layoutInCell="1" allowOverlap="1" wp14:anchorId="30FC6685" wp14:editId="5DF5CC90">
              <wp:simplePos x="0" y="0"/>
              <wp:positionH relativeFrom="margin">
                <wp:align>center</wp:align>
              </wp:positionH>
              <wp:positionV relativeFrom="paragraph">
                <wp:posOffset>128270</wp:posOffset>
              </wp:positionV>
              <wp:extent cx="7254240" cy="0"/>
              <wp:effectExtent l="0" t="0" r="22860" b="19050"/>
              <wp:wrapNone/>
              <wp:docPr id="4" name="Straight Connector 4"/>
              <wp:cNvGraphicFramePr/>
              <a:graphic xmlns:a="http://schemas.openxmlformats.org/drawingml/2006/main">
                <a:graphicData uri="http://schemas.microsoft.com/office/word/2010/wordprocessingShape">
                  <wps:wsp>
                    <wps:cNvCnPr/>
                    <wps:spPr>
                      <a:xfrm flipV="1">
                        <a:off x="0" y="0"/>
                        <a:ext cx="7254240" cy="0"/>
                      </a:xfrm>
                      <a:prstGeom prst="line">
                        <a:avLst/>
                      </a:prstGeom>
                      <a:ln>
                        <a:solidFill>
                          <a:schemeClr val="accent5">
                            <a:lumMod val="75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5978094" id="Straight Connector 4" o:spid="_x0000_s1026" style="position:absolute;flip:y;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10.1pt" to="571.2pt,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" strokecolor="#2f5496 [2408]" strokeweight=".5pt">
              <v:stroke joinstyle="miter"/>
              <w10:wrap anchorx="margin"/>
            </v:line>
          </w:pict>
        </mc:Fallback>
      </mc:AlternateContent>
    </w:r>
  </w:p>
  <w:p w14:paraId="29DA7BD9" w14:textId="77777777" w:rsidR="0044305E" w:rsidRPr="00101DFF" w:rsidRDefault="002B559E" w:rsidP="002B559E">
    <w:pPr>
      <w:pStyle w:val="Footer"/>
      <w:rPr>
        <w:rFonts w:asciiTheme="minorHAnsi" w:hAnsiTheme="minorHAnsi" w:cstheme="minorHAnsi"/>
        <w:color w:val="2F5496" w:themeColor="accent5" w:themeShade="BF"/>
      </w:rPr>
    </w:pPr>
    <w:r w:rsidRPr="00101DFF">
      <w:rPr>
        <w:rFonts w:asciiTheme="minorHAnsi" w:hAnsiTheme="minorHAnsi" w:cstheme="minorHAnsi"/>
        <w:noProof/>
        <w:color w:val="4375BC"/>
      </w:rPr>
      <w:drawing>
        <wp:anchor distT="0" distB="0" distL="114300" distR="114300" simplePos="0" relativeHeight="251660288" behindDoc="1" locked="0" layoutInCell="1" allowOverlap="1" wp14:anchorId="39B59EC2" wp14:editId="07984847">
          <wp:simplePos x="0" y="0"/>
          <wp:positionH relativeFrom="column">
            <wp:posOffset>4219575</wp:posOffset>
          </wp:positionH>
          <wp:positionV relativeFrom="page">
            <wp:posOffset>9258300</wp:posOffset>
          </wp:positionV>
          <wp:extent cx="1139190" cy="300990"/>
          <wp:effectExtent l="0" t="0" r="3810" b="381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tca-logo-sm2.png"/>
                  <pic:cNvPicPr/>
                </pic:nvPicPr>
                <pic:blipFill>
                  <a:blip r:embed="rId2">
                    <a:extLst>
                      <a:ext uri="{28A0092B-C50C-407E-A947-70E740481C1C}">
                        <a14:useLocalDpi xmlns:a14="http://schemas.microsoft.com/office/drawing/2010/main" val="0"/>
                      </a:ext>
                    </a:extLst>
                  </a:blip>
                  <a:stretch>
                    <a:fillRect/>
                  </a:stretch>
                </pic:blipFill>
                <pic:spPr>
                  <a:xfrm>
                    <a:off x="0" y="0"/>
                    <a:ext cx="1139190" cy="300990"/>
                  </a:xfrm>
                  <a:prstGeom prst="rect">
                    <a:avLst/>
                  </a:prstGeom>
                </pic:spPr>
              </pic:pic>
            </a:graphicData>
          </a:graphic>
          <wp14:sizeRelH relativeFrom="margin">
            <wp14:pctWidth>0</wp14:pctWidth>
          </wp14:sizeRelH>
          <wp14:sizeRelV relativeFrom="margin">
            <wp14:pctHeight>0</wp14:pctHeight>
          </wp14:sizeRelV>
        </wp:anchor>
      </w:drawing>
    </w:r>
    <w:r>
      <w:rPr>
        <w:rFonts w:asciiTheme="minorHAnsi" w:hAnsiTheme="minorHAnsi" w:cstheme="minorHAnsi"/>
        <w:noProof/>
        <w:color w:val="4375BC"/>
      </w:rPr>
      <w:drawing>
        <wp:anchor distT="0" distB="0" distL="114300" distR="114300" simplePos="0" relativeHeight="251656190" behindDoc="1" locked="0" layoutInCell="1" allowOverlap="1" wp14:anchorId="7819906D" wp14:editId="07C68E20">
          <wp:simplePos x="0" y="0"/>
          <wp:positionH relativeFrom="column">
            <wp:posOffset>2886075</wp:posOffset>
          </wp:positionH>
          <wp:positionV relativeFrom="page">
            <wp:posOffset>9144000</wp:posOffset>
          </wp:positionV>
          <wp:extent cx="1438275" cy="552284"/>
          <wp:effectExtent l="0" t="0" r="0" b="63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TC-Pathways-CMYK.jpg"/>
                  <pic:cNvPicPr/>
                </pic:nvPicPr>
                <pic:blipFill>
                  <a:blip r:embed="rId3" cstate="print">
                    <a:extLst>
                      <a:ext uri="{28A0092B-C50C-407E-A947-70E740481C1C}">
                        <a14:useLocalDpi xmlns:a14="http://schemas.microsoft.com/office/drawing/2010/main" val="0"/>
                      </a:ext>
                    </a:extLst>
                  </a:blip>
                  <a:stretch>
                    <a:fillRect/>
                  </a:stretch>
                </pic:blipFill>
                <pic:spPr>
                  <a:xfrm>
                    <a:off x="0" y="0"/>
                    <a:ext cx="1438275" cy="552284"/>
                  </a:xfrm>
                  <a:prstGeom prst="rect">
                    <a:avLst/>
                  </a:prstGeom>
                </pic:spPr>
              </pic:pic>
            </a:graphicData>
          </a:graphic>
          <wp14:sizeRelH relativeFrom="margin">
            <wp14:pctWidth>0</wp14:pctWidth>
          </wp14:sizeRelH>
        </wp:anchor>
      </w:drawing>
    </w:r>
    <w:r w:rsidR="00EB602E" w:rsidRPr="00101DFF">
      <w:rPr>
        <w:rFonts w:asciiTheme="minorHAnsi" w:hAnsiTheme="minorHAnsi" w:cstheme="minorHAnsi"/>
        <w:color w:val="2F5496" w:themeColor="accent5" w:themeShade="BF"/>
      </w:rPr>
      <w:t>CO</w:t>
    </w:r>
    <w:r w:rsidR="0044305E" w:rsidRPr="00101DFF">
      <w:rPr>
        <w:rFonts w:asciiTheme="minorHAnsi" w:hAnsiTheme="minorHAnsi" w:cstheme="minorHAnsi"/>
        <w:color w:val="2F5496" w:themeColor="accent5" w:themeShade="BF"/>
      </w:rPr>
      <w:t>NSOLIDATED BILLING SERVICES INC.</w:t>
    </w:r>
  </w:p>
  <w:p w14:paraId="3DCDF672" w14:textId="77777777" w:rsidR="0044305E" w:rsidRPr="00101DFF" w:rsidRDefault="001A5DB5" w:rsidP="002B559E">
    <w:pPr>
      <w:pStyle w:val="Footer"/>
      <w:rPr>
        <w:rFonts w:asciiTheme="minorHAnsi" w:hAnsiTheme="minorHAnsi" w:cstheme="minorHAnsi"/>
        <w:color w:val="2F5496" w:themeColor="accent5" w:themeShade="BF"/>
      </w:rPr>
    </w:pPr>
    <w:r w:rsidRPr="00101DFF">
      <w:rPr>
        <w:rFonts w:asciiTheme="minorHAnsi" w:hAnsiTheme="minorHAnsi" w:cstheme="minorHAnsi"/>
        <w:color w:val="2F5496" w:themeColor="accent5" w:themeShade="BF"/>
      </w:rPr>
      <w:t xml:space="preserve">1908 N DALE LN, </w:t>
    </w:r>
    <w:r w:rsidR="0044305E" w:rsidRPr="00101DFF">
      <w:rPr>
        <w:rFonts w:asciiTheme="minorHAnsi" w:hAnsiTheme="minorHAnsi" w:cstheme="minorHAnsi"/>
        <w:color w:val="2F5496" w:themeColor="accent5" w:themeShade="BF"/>
      </w:rPr>
      <w:t>STE A | SPOKANE VALLEY, WA 99212</w:t>
    </w:r>
  </w:p>
  <w:p w14:paraId="21743940" w14:textId="77777777" w:rsidR="001A5DB5" w:rsidRPr="00101DFF" w:rsidRDefault="001A5DB5" w:rsidP="002B559E">
    <w:pPr>
      <w:pStyle w:val="Footer"/>
      <w:rPr>
        <w:rFonts w:asciiTheme="minorHAnsi" w:hAnsiTheme="minorHAnsi" w:cstheme="minorHAnsi"/>
        <w:color w:val="2F5496" w:themeColor="accent5" w:themeShade="BF"/>
      </w:rPr>
    </w:pPr>
    <w:r w:rsidRPr="00101DFF">
      <w:rPr>
        <w:rFonts w:asciiTheme="minorHAnsi" w:hAnsiTheme="minorHAnsi" w:cstheme="minorHAnsi"/>
        <w:color w:val="2F5496" w:themeColor="accent5" w:themeShade="BF"/>
      </w:rPr>
      <w:t>T. 509.448.2067   |  F. 509.448.0785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EF2C6A" w14:textId="77777777" w:rsidR="00826460" w:rsidRDefault="00826460" w:rsidP="00EB602E">
      <w:r>
        <w:separator/>
      </w:r>
    </w:p>
  </w:footnote>
  <w:footnote w:type="continuationSeparator" w:id="0">
    <w:p w14:paraId="41B090F6" w14:textId="77777777" w:rsidR="00826460" w:rsidRDefault="00826460" w:rsidP="00EB60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49CA94" w14:textId="77777777" w:rsidR="00EB602E" w:rsidRPr="00101DFF" w:rsidRDefault="00EA52CF" w:rsidP="0068657B">
    <w:pPr>
      <w:pStyle w:val="Header"/>
      <w:tabs>
        <w:tab w:val="clear" w:pos="9360"/>
        <w:tab w:val="right" w:pos="10710"/>
      </w:tabs>
      <w:rPr>
        <w:rFonts w:asciiTheme="minorHAnsi" w:hAnsiTheme="minorHAnsi" w:cstheme="minorHAnsi"/>
        <w:color w:val="2F5496" w:themeColor="accent5" w:themeShade="BF"/>
      </w:rPr>
    </w:pPr>
    <w:r>
      <w:rPr>
        <w:noProof/>
      </w:rPr>
      <w:drawing>
        <wp:anchor distT="0" distB="0" distL="114300" distR="114300" simplePos="0" relativeHeight="251658240" behindDoc="1" locked="0" layoutInCell="1" allowOverlap="1" wp14:anchorId="21C8DFBC" wp14:editId="323BFF3F">
          <wp:simplePos x="0" y="0"/>
          <wp:positionH relativeFrom="column">
            <wp:posOffset>114300</wp:posOffset>
          </wp:positionH>
          <wp:positionV relativeFrom="paragraph">
            <wp:posOffset>-60960</wp:posOffset>
          </wp:positionV>
          <wp:extent cx="2651760" cy="693420"/>
          <wp:effectExtent l="0" t="0" r="0" b="0"/>
          <wp:wrapTight wrapText="bothSides">
            <wp:wrapPolygon edited="0">
              <wp:start x="0" y="0"/>
              <wp:lineTo x="0" y="20769"/>
              <wp:lineTo x="21414" y="20769"/>
              <wp:lineTo x="21414"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BSI-CMYK-3001.5x3.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651760" cy="693420"/>
                  </a:xfrm>
                  <a:prstGeom prst="rect">
                    <a:avLst/>
                  </a:prstGeom>
                </pic:spPr>
              </pic:pic>
            </a:graphicData>
          </a:graphic>
          <wp14:sizeRelV relativeFrom="margin">
            <wp14:pctHeight>0</wp14:pctHeight>
          </wp14:sizeRelV>
        </wp:anchor>
      </w:drawing>
    </w:r>
    <w:r w:rsidR="0068657B" w:rsidRPr="000802FA">
      <w:rPr>
        <w:color w:val="2F5496" w:themeColor="accent5" w:themeShade="BF"/>
      </w:rPr>
      <w:t xml:space="preserve"> </w:t>
    </w:r>
    <w:r w:rsidR="0068657B" w:rsidRPr="000802FA">
      <w:rPr>
        <w:color w:val="2F5496" w:themeColor="accent5" w:themeShade="BF"/>
      </w:rPr>
      <w:tab/>
    </w:r>
    <w:r w:rsidR="001A5DB5">
      <w:rPr>
        <w:color w:val="2F5496" w:themeColor="accent5" w:themeShade="BF"/>
      </w:rPr>
      <w:tab/>
    </w:r>
    <w:r w:rsidR="0068657B" w:rsidRPr="00101DFF">
      <w:rPr>
        <w:rFonts w:asciiTheme="minorHAnsi" w:hAnsiTheme="minorHAnsi" w:cstheme="minorHAnsi"/>
        <w:color w:val="2F5496" w:themeColor="accent5" w:themeShade="BF"/>
      </w:rPr>
      <w:t>BILLING-SERVICES.COM</w:t>
    </w:r>
  </w:p>
  <w:p w14:paraId="5AED6BA0" w14:textId="77777777" w:rsidR="00EB602E" w:rsidRPr="00101DFF" w:rsidRDefault="001A5DB5" w:rsidP="000802FA">
    <w:pPr>
      <w:pStyle w:val="Header"/>
      <w:tabs>
        <w:tab w:val="clear" w:pos="9360"/>
        <w:tab w:val="right" w:pos="10710"/>
      </w:tabs>
      <w:rPr>
        <w:rFonts w:asciiTheme="minorHAnsi" w:hAnsiTheme="minorHAnsi" w:cstheme="minorHAnsi"/>
        <w:color w:val="2F5496" w:themeColor="accent5" w:themeShade="BF"/>
      </w:rPr>
    </w:pPr>
    <w:r w:rsidRPr="00101DFF">
      <w:rPr>
        <w:rFonts w:asciiTheme="minorHAnsi" w:hAnsiTheme="minorHAnsi" w:cstheme="minorHAnsi"/>
        <w:color w:val="2F5496" w:themeColor="accent5" w:themeShade="BF"/>
      </w:rPr>
      <w:tab/>
    </w:r>
    <w:r w:rsidR="000802FA" w:rsidRPr="00101DFF">
      <w:rPr>
        <w:rFonts w:asciiTheme="minorHAnsi" w:hAnsiTheme="minorHAnsi" w:cstheme="minorHAnsi"/>
        <w:color w:val="2F5496" w:themeColor="accent5" w:themeShade="BF"/>
      </w:rPr>
      <w:tab/>
      <w:t xml:space="preserve">  SNFCB.COM</w:t>
    </w:r>
  </w:p>
  <w:p w14:paraId="6146CD7D" w14:textId="77777777" w:rsidR="00EB602E" w:rsidRDefault="001A5DB5" w:rsidP="00FA7FEC">
    <w:pPr>
      <w:pStyle w:val="Header"/>
      <w:tabs>
        <w:tab w:val="clear" w:pos="9360"/>
        <w:tab w:val="right" w:pos="10710"/>
      </w:tabs>
      <w:rPr>
        <w:rFonts w:asciiTheme="minorHAnsi" w:hAnsiTheme="minorHAnsi" w:cstheme="minorHAnsi"/>
        <w:color w:val="2F5496" w:themeColor="accent5" w:themeShade="BF"/>
      </w:rPr>
    </w:pPr>
    <w:r w:rsidRPr="00101DFF">
      <w:rPr>
        <w:rFonts w:asciiTheme="minorHAnsi" w:hAnsiTheme="minorHAnsi" w:cstheme="minorHAnsi"/>
        <w:color w:val="2F5496" w:themeColor="accent5" w:themeShade="BF"/>
      </w:rPr>
      <w:tab/>
    </w:r>
    <w:r w:rsidR="000802FA" w:rsidRPr="00101DFF">
      <w:rPr>
        <w:rFonts w:asciiTheme="minorHAnsi" w:hAnsiTheme="minorHAnsi" w:cstheme="minorHAnsi"/>
        <w:color w:val="2F5496" w:themeColor="accent5" w:themeShade="BF"/>
      </w:rPr>
      <w:tab/>
      <w:t>LTC-ANALYTICS.COM</w:t>
    </w:r>
  </w:p>
  <w:p w14:paraId="7446119E" w14:textId="77777777" w:rsidR="002B559E" w:rsidRPr="00FA7FEC" w:rsidRDefault="002B559E" w:rsidP="00FA7FEC">
    <w:pPr>
      <w:pStyle w:val="Header"/>
      <w:tabs>
        <w:tab w:val="clear" w:pos="9360"/>
        <w:tab w:val="right" w:pos="10710"/>
      </w:tabs>
      <w:rPr>
        <w:rFonts w:asciiTheme="minorHAnsi" w:hAnsiTheme="minorHAnsi" w:cstheme="minorHAnsi"/>
        <w:color w:val="2F5496" w:themeColor="accent5" w:themeShade="BF"/>
      </w:rPr>
    </w:pPr>
    <w:r>
      <w:rPr>
        <w:rFonts w:asciiTheme="minorHAnsi" w:hAnsiTheme="minorHAnsi" w:cstheme="minorHAnsi"/>
        <w:color w:val="2F5496" w:themeColor="accent5" w:themeShade="BF"/>
      </w:rPr>
      <w:tab/>
    </w:r>
    <w:r>
      <w:rPr>
        <w:rFonts w:asciiTheme="minorHAnsi" w:hAnsiTheme="minorHAnsi" w:cstheme="minorHAnsi"/>
        <w:color w:val="2F5496" w:themeColor="accent5" w:themeShade="BF"/>
      </w:rPr>
      <w:tab/>
      <w:t>LTC-PATHWAYS.COM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37D78"/>
    <w:multiLevelType w:val="hybridMultilevel"/>
    <w:tmpl w:val="950EC0C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CDC029F"/>
    <w:multiLevelType w:val="hybridMultilevel"/>
    <w:tmpl w:val="6722DF9E"/>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6A623A0"/>
    <w:multiLevelType w:val="hybridMultilevel"/>
    <w:tmpl w:val="D8A4CDC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4AD2FF1"/>
    <w:multiLevelType w:val="hybridMultilevel"/>
    <w:tmpl w:val="1D4EA49A"/>
    <w:lvl w:ilvl="0" w:tplc="199CFEF2">
      <w:start w:val="1"/>
      <w:numFmt w:val="upp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2CB1B7A"/>
    <w:multiLevelType w:val="hybridMultilevel"/>
    <w:tmpl w:val="9396652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449E20D8"/>
    <w:multiLevelType w:val="hybridMultilevel"/>
    <w:tmpl w:val="64E4030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52CF0BEF"/>
    <w:multiLevelType w:val="hybridMultilevel"/>
    <w:tmpl w:val="171E23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5C0E4B25"/>
    <w:multiLevelType w:val="hybridMultilevel"/>
    <w:tmpl w:val="081A48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6D11EAB"/>
    <w:multiLevelType w:val="singleLevel"/>
    <w:tmpl w:val="24BA63F2"/>
    <w:lvl w:ilvl="0">
      <w:start w:val="1998"/>
      <w:numFmt w:val="bullet"/>
      <w:lvlText w:val=""/>
      <w:lvlJc w:val="left"/>
      <w:pPr>
        <w:tabs>
          <w:tab w:val="num" w:pos="720"/>
        </w:tabs>
        <w:ind w:left="720" w:hanging="720"/>
      </w:pPr>
      <w:rPr>
        <w:rFonts w:ascii="Symbol" w:hAnsi="Symbol" w:hint="default"/>
      </w:rPr>
    </w:lvl>
  </w:abstractNum>
  <w:num w:numId="1" w16cid:durableId="1774125964">
    <w:abstractNumId w:val="8"/>
  </w:num>
  <w:num w:numId="2" w16cid:durableId="355926448">
    <w:abstractNumId w:val="3"/>
  </w:num>
  <w:num w:numId="3" w16cid:durableId="1320580174">
    <w:abstractNumId w:val="5"/>
  </w:num>
  <w:num w:numId="4" w16cid:durableId="1021201628">
    <w:abstractNumId w:val="0"/>
  </w:num>
  <w:num w:numId="5" w16cid:durableId="581915922">
    <w:abstractNumId w:val="2"/>
  </w:num>
  <w:num w:numId="6" w16cid:durableId="1489978100">
    <w:abstractNumId w:val="6"/>
  </w:num>
  <w:num w:numId="7" w16cid:durableId="2114671401">
    <w:abstractNumId w:val="4"/>
  </w:num>
  <w:num w:numId="8" w16cid:durableId="2146660353">
    <w:abstractNumId w:val="1"/>
  </w:num>
  <w:num w:numId="9" w16cid:durableId="28057488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602E"/>
    <w:rsid w:val="000513A1"/>
    <w:rsid w:val="000802FA"/>
    <w:rsid w:val="0008101D"/>
    <w:rsid w:val="000B0B2B"/>
    <w:rsid w:val="00101DFF"/>
    <w:rsid w:val="001062B0"/>
    <w:rsid w:val="0017229A"/>
    <w:rsid w:val="00197D9E"/>
    <w:rsid w:val="001A5DB5"/>
    <w:rsid w:val="001F3732"/>
    <w:rsid w:val="002B559E"/>
    <w:rsid w:val="00364366"/>
    <w:rsid w:val="00375964"/>
    <w:rsid w:val="00390076"/>
    <w:rsid w:val="003C52B1"/>
    <w:rsid w:val="004201AD"/>
    <w:rsid w:val="0044305E"/>
    <w:rsid w:val="00444CAE"/>
    <w:rsid w:val="00473293"/>
    <w:rsid w:val="004A7166"/>
    <w:rsid w:val="00550BA9"/>
    <w:rsid w:val="00551D3E"/>
    <w:rsid w:val="0059129E"/>
    <w:rsid w:val="00606DA0"/>
    <w:rsid w:val="0068657B"/>
    <w:rsid w:val="006B4223"/>
    <w:rsid w:val="006D167C"/>
    <w:rsid w:val="006E62E0"/>
    <w:rsid w:val="00792708"/>
    <w:rsid w:val="007B33EE"/>
    <w:rsid w:val="007C1EB6"/>
    <w:rsid w:val="007D5D21"/>
    <w:rsid w:val="007E4705"/>
    <w:rsid w:val="0082529E"/>
    <w:rsid w:val="00825B5F"/>
    <w:rsid w:val="00826460"/>
    <w:rsid w:val="00855201"/>
    <w:rsid w:val="00864B87"/>
    <w:rsid w:val="008B0733"/>
    <w:rsid w:val="00A103A3"/>
    <w:rsid w:val="00A27808"/>
    <w:rsid w:val="00A3680B"/>
    <w:rsid w:val="00B1561F"/>
    <w:rsid w:val="00B601D9"/>
    <w:rsid w:val="00BB2328"/>
    <w:rsid w:val="00BB2F8E"/>
    <w:rsid w:val="00BD41F6"/>
    <w:rsid w:val="00C12F39"/>
    <w:rsid w:val="00C24041"/>
    <w:rsid w:val="00C65986"/>
    <w:rsid w:val="00CD6BA9"/>
    <w:rsid w:val="00CF7E82"/>
    <w:rsid w:val="00D02070"/>
    <w:rsid w:val="00D41146"/>
    <w:rsid w:val="00D46DDF"/>
    <w:rsid w:val="00D963AC"/>
    <w:rsid w:val="00DA0A42"/>
    <w:rsid w:val="00E3790B"/>
    <w:rsid w:val="00EA2D05"/>
    <w:rsid w:val="00EA52CF"/>
    <w:rsid w:val="00EB602E"/>
    <w:rsid w:val="00F54374"/>
    <w:rsid w:val="00FA482E"/>
    <w:rsid w:val="00FA7F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403E41"/>
  <w15:docId w15:val="{9F501F51-8445-4231-8DCC-A7B3B3E1D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680B"/>
    <w:pPr>
      <w:spacing w:after="0" w:line="240" w:lineRule="auto"/>
    </w:pPr>
    <w:rPr>
      <w:rFonts w:ascii="Times New Roman" w:eastAsia="Times New Roman" w:hAnsi="Times New Roman" w:cs="Times New Roman"/>
      <w:sz w:val="20"/>
      <w:szCs w:val="20"/>
    </w:rPr>
  </w:style>
  <w:style w:type="paragraph" w:styleId="Heading2">
    <w:name w:val="heading 2"/>
    <w:basedOn w:val="Normal"/>
    <w:next w:val="Normal"/>
    <w:link w:val="Heading2Char"/>
    <w:qFormat/>
    <w:rsid w:val="006D167C"/>
    <w:pPr>
      <w:keepNext/>
      <w:spacing w:line="360" w:lineRule="auto"/>
      <w:jc w:val="center"/>
      <w:outlineLvl w:val="1"/>
    </w:pPr>
    <w:rPr>
      <w:rFonts w:ascii="Arial" w:hAnsi="Arial" w:cs="Arial"/>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B602E"/>
    <w:pPr>
      <w:tabs>
        <w:tab w:val="center" w:pos="4680"/>
        <w:tab w:val="right" w:pos="9360"/>
      </w:tabs>
    </w:pPr>
  </w:style>
  <w:style w:type="character" w:customStyle="1" w:styleId="HeaderChar">
    <w:name w:val="Header Char"/>
    <w:basedOn w:val="DefaultParagraphFont"/>
    <w:link w:val="Header"/>
    <w:uiPriority w:val="99"/>
    <w:rsid w:val="00EB602E"/>
  </w:style>
  <w:style w:type="paragraph" w:styleId="Footer">
    <w:name w:val="footer"/>
    <w:basedOn w:val="Normal"/>
    <w:link w:val="FooterChar"/>
    <w:uiPriority w:val="99"/>
    <w:unhideWhenUsed/>
    <w:rsid w:val="00EB602E"/>
    <w:pPr>
      <w:tabs>
        <w:tab w:val="center" w:pos="4680"/>
        <w:tab w:val="right" w:pos="9360"/>
      </w:tabs>
    </w:pPr>
  </w:style>
  <w:style w:type="character" w:customStyle="1" w:styleId="FooterChar">
    <w:name w:val="Footer Char"/>
    <w:basedOn w:val="DefaultParagraphFont"/>
    <w:link w:val="Footer"/>
    <w:uiPriority w:val="99"/>
    <w:rsid w:val="00EB602E"/>
  </w:style>
  <w:style w:type="character" w:styleId="Hyperlink">
    <w:name w:val="Hyperlink"/>
    <w:basedOn w:val="DefaultParagraphFont"/>
    <w:uiPriority w:val="99"/>
    <w:unhideWhenUsed/>
    <w:rsid w:val="00EA52CF"/>
    <w:rPr>
      <w:color w:val="0563C1" w:themeColor="hyperlink"/>
      <w:u w:val="single"/>
    </w:rPr>
  </w:style>
  <w:style w:type="paragraph" w:styleId="BalloonText">
    <w:name w:val="Balloon Text"/>
    <w:basedOn w:val="Normal"/>
    <w:link w:val="BalloonTextChar"/>
    <w:uiPriority w:val="99"/>
    <w:semiHidden/>
    <w:unhideWhenUsed/>
    <w:rsid w:val="00EA2D0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2D05"/>
    <w:rPr>
      <w:rFonts w:ascii="Segoe UI" w:eastAsia="Times New Roman" w:hAnsi="Segoe UI" w:cs="Segoe UI"/>
      <w:sz w:val="18"/>
      <w:szCs w:val="18"/>
    </w:rPr>
  </w:style>
  <w:style w:type="character" w:customStyle="1" w:styleId="Heading2Char">
    <w:name w:val="Heading 2 Char"/>
    <w:basedOn w:val="DefaultParagraphFont"/>
    <w:link w:val="Heading2"/>
    <w:rsid w:val="006D167C"/>
    <w:rPr>
      <w:rFonts w:ascii="Arial" w:eastAsia="Times New Roman" w:hAnsi="Arial" w:cs="Arial"/>
      <w:b/>
      <w:bCs/>
      <w:sz w:val="20"/>
      <w:szCs w:val="24"/>
    </w:rPr>
  </w:style>
  <w:style w:type="paragraph" w:styleId="Title">
    <w:name w:val="Title"/>
    <w:basedOn w:val="Normal"/>
    <w:link w:val="TitleChar"/>
    <w:qFormat/>
    <w:rsid w:val="006D167C"/>
    <w:pPr>
      <w:spacing w:line="360" w:lineRule="auto"/>
      <w:jc w:val="center"/>
    </w:pPr>
    <w:rPr>
      <w:rFonts w:ascii="Arial" w:hAnsi="Arial" w:cs="Arial"/>
      <w:b/>
      <w:bCs/>
      <w:sz w:val="28"/>
      <w:szCs w:val="24"/>
    </w:rPr>
  </w:style>
  <w:style w:type="character" w:customStyle="1" w:styleId="TitleChar">
    <w:name w:val="Title Char"/>
    <w:basedOn w:val="DefaultParagraphFont"/>
    <w:link w:val="Title"/>
    <w:rsid w:val="006D167C"/>
    <w:rPr>
      <w:rFonts w:ascii="Arial" w:eastAsia="Times New Roman" w:hAnsi="Arial" w:cs="Arial"/>
      <w:b/>
      <w:bCs/>
      <w:sz w:val="28"/>
      <w:szCs w:val="24"/>
    </w:rPr>
  </w:style>
  <w:style w:type="paragraph" w:customStyle="1" w:styleId="Default">
    <w:name w:val="Default"/>
    <w:rsid w:val="006D167C"/>
    <w:pPr>
      <w:autoSpaceDE w:val="0"/>
      <w:autoSpaceDN w:val="0"/>
      <w:adjustRightInd w:val="0"/>
      <w:spacing w:after="0" w:line="240" w:lineRule="auto"/>
    </w:pPr>
    <w:rPr>
      <w:rFonts w:ascii="Calibri" w:eastAsia="Times New Roman" w:hAnsi="Calibri" w:cs="Calibri"/>
      <w:color w:val="000000"/>
      <w:sz w:val="24"/>
      <w:szCs w:val="24"/>
    </w:rPr>
  </w:style>
  <w:style w:type="paragraph" w:styleId="ListParagraph">
    <w:name w:val="List Paragraph"/>
    <w:basedOn w:val="Normal"/>
    <w:uiPriority w:val="34"/>
    <w:qFormat/>
    <w:rsid w:val="006D167C"/>
    <w:pPr>
      <w:ind w:left="720"/>
    </w:pPr>
    <w:rPr>
      <w:sz w:val="24"/>
      <w:szCs w:val="24"/>
    </w:rPr>
  </w:style>
  <w:style w:type="character" w:customStyle="1" w:styleId="UnresolvedMention1">
    <w:name w:val="Unresolved Mention1"/>
    <w:basedOn w:val="DefaultParagraphFont"/>
    <w:uiPriority w:val="99"/>
    <w:semiHidden/>
    <w:unhideWhenUsed/>
    <w:rsid w:val="00D963AC"/>
    <w:rPr>
      <w:color w:val="605E5C"/>
      <w:shd w:val="clear" w:color="auto" w:fill="E1DFDD"/>
    </w:rPr>
  </w:style>
  <w:style w:type="character" w:styleId="UnresolvedMention">
    <w:name w:val="Unresolved Mention"/>
    <w:basedOn w:val="DefaultParagraphFont"/>
    <w:uiPriority w:val="99"/>
    <w:semiHidden/>
    <w:unhideWhenUsed/>
    <w:rsid w:val="00C12F39"/>
    <w:rPr>
      <w:color w:val="605E5C"/>
      <w:shd w:val="clear" w:color="auto" w:fill="E1DFDD"/>
    </w:rPr>
  </w:style>
  <w:style w:type="paragraph" w:styleId="Revision">
    <w:name w:val="Revision"/>
    <w:hidden/>
    <w:uiPriority w:val="99"/>
    <w:semiHidden/>
    <w:rsid w:val="006E62E0"/>
    <w:pPr>
      <w:spacing w:after="0" w:line="240" w:lineRule="auto"/>
    </w:pPr>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6E62E0"/>
    <w:rPr>
      <w:sz w:val="16"/>
      <w:szCs w:val="16"/>
    </w:rPr>
  </w:style>
  <w:style w:type="paragraph" w:styleId="CommentText">
    <w:name w:val="annotation text"/>
    <w:basedOn w:val="Normal"/>
    <w:link w:val="CommentTextChar"/>
    <w:uiPriority w:val="99"/>
    <w:unhideWhenUsed/>
    <w:rsid w:val="006E62E0"/>
  </w:style>
  <w:style w:type="character" w:customStyle="1" w:styleId="CommentTextChar">
    <w:name w:val="Comment Text Char"/>
    <w:basedOn w:val="DefaultParagraphFont"/>
    <w:link w:val="CommentText"/>
    <w:uiPriority w:val="99"/>
    <w:rsid w:val="006E62E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E62E0"/>
    <w:rPr>
      <w:b/>
      <w:bCs/>
    </w:rPr>
  </w:style>
  <w:style w:type="character" w:customStyle="1" w:styleId="CommentSubjectChar">
    <w:name w:val="Comment Subject Char"/>
    <w:basedOn w:val="CommentTextChar"/>
    <w:link w:val="CommentSubject"/>
    <w:uiPriority w:val="99"/>
    <w:semiHidden/>
    <w:rsid w:val="006E62E0"/>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63986">
      <w:bodyDiv w:val="1"/>
      <w:marLeft w:val="0"/>
      <w:marRight w:val="0"/>
      <w:marTop w:val="0"/>
      <w:marBottom w:val="0"/>
      <w:divBdr>
        <w:top w:val="none" w:sz="0" w:space="0" w:color="auto"/>
        <w:left w:val="none" w:sz="0" w:space="0" w:color="auto"/>
        <w:bottom w:val="none" w:sz="0" w:space="0" w:color="auto"/>
        <w:right w:val="none" w:sz="0" w:space="0" w:color="auto"/>
      </w:divBdr>
    </w:div>
    <w:div w:id="404885010">
      <w:bodyDiv w:val="1"/>
      <w:marLeft w:val="0"/>
      <w:marRight w:val="0"/>
      <w:marTop w:val="0"/>
      <w:marBottom w:val="0"/>
      <w:divBdr>
        <w:top w:val="none" w:sz="0" w:space="0" w:color="auto"/>
        <w:left w:val="none" w:sz="0" w:space="0" w:color="auto"/>
        <w:bottom w:val="none" w:sz="0" w:space="0" w:color="auto"/>
        <w:right w:val="none" w:sz="0" w:space="0" w:color="auto"/>
      </w:divBdr>
    </w:div>
    <w:div w:id="1841116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bill-ulrich@billing-service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1</Pages>
  <Words>592</Words>
  <Characters>3376</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Danette Ulrich</dc:creator>
  <cp:keywords/>
  <dc:description/>
  <cp:lastModifiedBy>Lauri St. Ours</cp:lastModifiedBy>
  <cp:revision>3</cp:revision>
  <cp:lastPrinted>2019-01-11T23:33:00Z</cp:lastPrinted>
  <dcterms:created xsi:type="dcterms:W3CDTF">2024-02-05T21:26:00Z</dcterms:created>
  <dcterms:modified xsi:type="dcterms:W3CDTF">2024-02-05T21:26:00Z</dcterms:modified>
</cp:coreProperties>
</file>